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0692130" cy="7564755"/>
            <wp:effectExtent l="0" t="0" r="0" b="0"/>
            <wp:docPr id="1" name="Immagine1" descr="Logo azien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 descr="Logo azienda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564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3039725" cy="4505325"/>
            <wp:effectExtent l="0" t="0" r="0" b="0"/>
            <wp:docPr id="2" name="Immagine2" descr="Logo piattafo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 descr="Logo piattaforma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9725" cy="450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t>Sistema di Gestione per la Sicurezza delle Informazioni</w:t>
      </w:r>
    </w:p>
    <w:p>
      <w:pPr>
        <w:pStyle w:val="BodyText"/>
        <w:bidi w:val="0"/>
        <w:spacing w:before="0" w:after="0"/>
        <w:jc w:val="left"/>
        <w:rPr/>
      </w:pPr>
      <w:r>
        <w:rPr/>
        <w:t>Politica Sicurezza Informazioni</w:t>
      </w:r>
    </w:p>
    <w:p>
      <w:pPr>
        <w:pStyle w:val="BodyText"/>
        <w:bidi w:val="0"/>
        <w:spacing w:before="0" w:after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tbl>
      <w:tblPr>
        <w:tblW w:w="3180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86"/>
        <w:gridCol w:w="1494"/>
      </w:tblGrid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Codice</w:t>
            </w:r>
          </w:p>
        </w:tc>
        <w:tc>
          <w:tcPr>
            <w:tcW w:w="149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SGSI-POL-001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Data documento</w:t>
            </w:r>
          </w:p>
        </w:tc>
        <w:tc>
          <w:tcPr>
            <w:tcW w:w="149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15/07/2026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Versione</w:t>
            </w:r>
          </w:p>
        </w:tc>
        <w:tc>
          <w:tcPr>
            <w:tcW w:w="149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00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Approvato da</w:t>
            </w:r>
          </w:p>
        </w:tc>
        <w:tc>
          <w:tcPr>
            <w:tcW w:w="1494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Alta direzione</w:t>
            </w:r>
          </w:p>
        </w:tc>
      </w:tr>
    </w:tbl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jc w:val="left"/>
        <w:rPr/>
      </w:pPr>
      <w:r>
        <w:rPr/>
        <w:t xml:space="preserve">Pag. </w:t>
      </w:r>
    </w:p>
    <w:p>
      <w:pPr>
        <w:pStyle w:val="Heading2"/>
        <w:bidi w:val="0"/>
        <w:ind w:hanging="0" w:left="0" w:right="0"/>
        <w:jc w:val="left"/>
        <w:rPr/>
      </w:pPr>
      <w:r>
        <w:rPr/>
        <w:t>Presentazione</w:t>
      </w:r>
    </w:p>
    <w:p>
      <w:pPr>
        <w:pStyle w:val="BodyText"/>
        <w:bidi w:val="0"/>
        <w:jc w:val="left"/>
        <w:rPr/>
      </w:pPr>
      <w:r>
        <w:rPr/>
        <w:t>Il presente documento è redatto per fornire una rappresentazione organica, elegante e professionale del Sistema di Gestione per la Sicurezza delle Informazioni dell’organizzazione, collegando business, asset, rischi, controlli, responsabilità e miglioramento continuo in un impianto coerente con la ISO/IEC 27001:2022.</w:t>
      </w:r>
    </w:p>
    <w:p>
      <w:pPr>
        <w:pStyle w:val="Heading2"/>
        <w:bidi w:val="0"/>
        <w:ind w:hanging="0" w:left="0" w:right="0"/>
        <w:jc w:val="left"/>
        <w:rPr/>
      </w:pPr>
      <w:r>
        <w:rPr/>
        <w:t>Scopo</w:t>
      </w:r>
    </w:p>
    <w:p>
      <w:pPr>
        <w:pStyle w:val="BodyText"/>
        <w:bidi w:val="0"/>
        <w:jc w:val="left"/>
        <w:rPr/>
      </w:pPr>
      <w:r>
        <w:rPr/>
        <w:t>Lo scopo del documento è supportare direzione, funzioni aziendali, auditor, consulenti e parti autorizzate nella comprensione del perimetro del SGSI, della logica di governo adottata, delle priorità di rischio e delle misure poste a presidio delle informazioni e dei servizi rilevanti.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dell’azienda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 servizio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I Nostri Servizi Ingegneristici e di Supporto</w:t>
        <w:br/>
        <w:br/>
        <w:t>CO-PROGETTAZIONE E INGEGNERIZZAZIONE CUSTOM (R&amp;D)</w:t>
        <w:br/>
        <w:br/>
        <w:t>Affiancamento Tecnico: Collaborazione diretta con l'ufficio tecnico del cliente fin dalle prime fasi di ideazione del macchinario per definire la soluzione di trasmissione ottimale.</w:t>
        <w:br/>
        <w:t>Dimensionamento Personalizzato: Calcolo e progettazione assistita di riduttori speciali su misura, superando i limiti dimensionali o prestazionali dei prodotti standard a catalogo.</w:t>
        <w:br/>
        <w:t>Analisi e Simulazione Avanzata: Utilizzo di software di simulazione FEM (Metodo degli Elementi Finiti) e modellazione cinematica per prevedere il comportamento strutturale, la resistenza a fatica e l'usura dei componenti in condizioni di carico reali.</w:t>
        <w:br/>
        <w:br/>
        <w:t>SVILUPPO DI CINEMATISMI PER SETTORI AD ALTA TECNOLOGIA</w:t>
        <w:br/>
        <w:br/>
        <w:t>Ottimizzazione per lo Spazio e l'Aerospazio: Progettazione di microriduttori e meccanismi alleggeriti in leghe speciali (come titanio e alluminio aeronautico) adatti a lavorare nel vuoto e a resistere a forti shock vibrazionali.</w:t>
        <w:br/>
        <w:t>Sistemi di Precisione per la Difesa: Sviluppo di gruppi di trasmissione ad alta accuratezza cinetica e gioco ridottissimo per sistemi di puntamento radar, torrette e inseguimento optoelettronico.</w:t>
        <w:br/>
        <w:t>Soluzioni per l'Automazione e Robotica: Calcolo e fornitura di riduttori epicicloidali con giochi angolari minimi per bracci robotici e tavole rotanti che richiedono ripetibilità millimetrica.</w:t>
        <w:br/>
        <w:br/>
        <w:t>ADATTAMENTO E PERSONALIZZAZIONE DI PRODOTTI TRADIZIONALI</w:t>
        <w:br/>
        <w:br/>
        <w:t>Configurazione su Misura: Modifica di alberi d'uscita, flange di collegamento, predisposizioni motore e layout di montaggio su riduttori epicicloidali, ortogonali e ad assi paralleli.</w:t>
        <w:br/>
        <w:t>Trattamenti Superficiali Specifici: Applicazione di verniciature speciali, trattamenti anticorrosione o casse completamente in acciaio inox per i settori alimentare, farmaceutico o marino.</w:t>
        <w:br/>
        <w:t>Lubrificazione Dedicata: Fornitura di riduttori dotati di oli sintetici per alte/basse temperature o lubrificanti certificati per uso alimentare (Food-grade).</w:t>
        <w:br/>
        <w:br/>
        <w:t>CONTROLLO QUALITÀ E TRACCIABILITÀ TOTALE</w:t>
        <w:br/>
        <w:br/>
        <w:t>Verifica e Metrologia: Controlli dimensionali stringenti sui profili dei denti degli ingranaggi e sulle tolleranze di accoppiamento per garantire la massima silenziosità e rendimento.</w:t>
        <w:br/>
        <w:t>Tracciabilità dei Materiali: Gestione e fornitura di certificazioni complete sulle materie prime (certificati 3.1) e sui trattamenti termici effettuati, fondamentale per i settori Ferroviario, Militare e Spaziale.</w:t>
        <w:br/>
        <w:t>Test e Collaudi: Possibilità di eseguire test di tenuta, prove di rumorosità e simulazioni di carico prima della consegna del gruppo di trasmissione.</w:t>
        <w:br/>
        <w:br/>
        <w:t>ASSISTENZA POST-VENDITA E CONSULENZA APPLICATIVA</w:t>
        <w:br/>
        <w:br/>
        <w:t>Problem Solving: Supporto tecnico rapido per la risoluzione di anomalie di funzionamento o per l'ottimizzazione di impianti esistenti (attività di revamping di vecchie trasmissioni).</w:t>
        <w:br/>
        <w:t>Ricambistica Specialistica: Fornitura di ingranaggi, alberi scanalati e componenti di ricambio realizzati a disegno o a campione, anche per macchinari obsoleti.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Indice del documento</w:t>
      </w:r>
    </w:p>
    <w:p>
      <w:pPr>
        <w:pStyle w:val="BodyText"/>
        <w:bidi w:val="0"/>
        <w:spacing w:before="0" w:after="0"/>
        <w:jc w:val="left"/>
        <w:rPr/>
      </w:pPr>
      <w:r>
        <w:rPr/>
        <w:t>Impegno della direzione</w:t>
      </w:r>
    </w:p>
    <w:p>
      <w:pPr>
        <w:pStyle w:val="BodyText"/>
        <w:bidi w:val="0"/>
        <w:spacing w:before="0" w:after="0"/>
        <w:jc w:val="left"/>
        <w:rPr/>
      </w:pPr>
      <w:r>
        <w:rPr/>
        <w:t>Principi di riferimento</w:t>
      </w:r>
    </w:p>
    <w:p>
      <w:pPr>
        <w:pStyle w:val="BodyText"/>
        <w:bidi w:val="0"/>
        <w:spacing w:before="0" w:after="0"/>
        <w:jc w:val="left"/>
        <w:rPr/>
      </w:pPr>
      <w:r>
        <w:rPr/>
        <w:t>Campo di applicazione</w:t>
      </w:r>
    </w:p>
    <w:p>
      <w:pPr>
        <w:pStyle w:val="BodyText"/>
        <w:bidi w:val="0"/>
        <w:spacing w:before="0" w:after="0"/>
        <w:jc w:val="left"/>
        <w:rPr/>
      </w:pPr>
      <w:r>
        <w:rPr/>
        <w:t>Obiettivi</w:t>
      </w:r>
    </w:p>
    <w:p>
      <w:pPr>
        <w:pStyle w:val="BodyText"/>
        <w:bidi w:val="0"/>
        <w:spacing w:before="0" w:after="0"/>
        <w:jc w:val="left"/>
        <w:rPr/>
      </w:pPr>
      <w:r>
        <w:rPr/>
        <w:t>Responsabilità organizzative</w:t>
      </w:r>
    </w:p>
    <w:p>
      <w:pPr>
        <w:pStyle w:val="BodyText"/>
        <w:bidi w:val="0"/>
        <w:jc w:val="left"/>
        <w:rPr/>
      </w:pPr>
      <w:r>
        <w:rPr/>
        <w:t>Riesame</w:t>
      </w:r>
    </w:p>
    <w:p>
      <w:pPr>
        <w:pStyle w:val="Heading2"/>
        <w:bidi w:val="0"/>
        <w:ind w:hanging="0" w:left="0" w:right="0"/>
        <w:jc w:val="left"/>
        <w:rPr/>
      </w:pPr>
      <w:r>
        <w:rPr/>
        <w:t>Termini in uso</w:t>
      </w:r>
    </w:p>
    <w:tbl>
      <w:tblPr>
        <w:tblW w:w="963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958"/>
        <w:gridCol w:w="7680"/>
      </w:tblGrid>
      <w:tr>
        <w:trPr>
          <w:tblHeader w:val="true"/>
        </w:trPr>
        <w:tc>
          <w:tcPr>
            <w:tcW w:w="1958" w:type="dxa"/>
            <w:tcBorders/>
            <w:vAlign w:val="center"/>
          </w:tcPr>
          <w:p>
            <w:pPr>
              <w:pStyle w:val="Titolotabella"/>
              <w:bidi w:val="0"/>
              <w:ind w:hanging="0" w:left="0" w:right="0"/>
              <w:jc w:val="left"/>
              <w:rPr/>
            </w:pPr>
            <w:r>
              <w:rPr/>
              <w:t>Termine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Definizione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Sistema di Gestione per la Sicurezza delle Informazioni.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Informazione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Dato o insieme di dati rilevanti per l'organizzazione, indipendentemente dal formato o supporto.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Asset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Qualsiasi risorsa informativa, organizzativa, tecnologica, fisica o di supporto rilevante per il SGSI.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Effetto dell'incertezza sugli obiettivi, valutato in termini di probabilità e impatto.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Controllo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Misura organizzativa, fisica o tecnica adottata per modificare o presidiare il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Trattamento del 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Decisione e insieme di azioni per mitigare, trasferire, evitare o accettare un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Statement of Applicability: documento che riporta i controlli applicabili, il relativo stato e la giustificazione.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Parte interessata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Soggetto interno o esterno che può influenzare, essere influenzato o percepirsi influenzato dal SGSI.</w:t>
            </w:r>
          </w:p>
        </w:tc>
      </w:tr>
    </w:tbl>
    <w:p>
      <w:pPr>
        <w:pStyle w:val="Heading2"/>
        <w:bidi w:val="0"/>
        <w:ind w:hanging="0" w:left="0" w:right="0"/>
        <w:jc w:val="left"/>
        <w:rPr/>
      </w:pPr>
      <w:r>
        <w:rPr/>
        <w:t>Impegno della direzione</w:t>
      </w:r>
    </w:p>
    <w:p>
      <w:pPr>
        <w:pStyle w:val="BodyText"/>
        <w:bidi w:val="0"/>
        <w:jc w:val="left"/>
        <w:rPr/>
      </w:pPr>
      <w:r>
        <w:rPr/>
        <w:t>La Direzione di RIDUTTORI ITALIA S.R.L. si impegna a proteggere la riservatezza, l’integrità e la disponibilità delle informazioni, garantendo risorse adeguate, responsabilità chiare e monitoraggio dell’efficacia del SGSI.</w:t>
      </w:r>
    </w:p>
    <w:p>
      <w:pPr>
        <w:pStyle w:val="Heading2"/>
        <w:bidi w:val="0"/>
        <w:ind w:hanging="0" w:left="0" w:right="0"/>
        <w:jc w:val="left"/>
        <w:rPr/>
      </w:pPr>
      <w:r>
        <w:rPr/>
        <w:t>Principi di riferimento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left="709"/>
        <w:jc w:val="left"/>
        <w:rPr/>
      </w:pPr>
      <w:r>
        <w:rPr/>
        <w:t>approccio basato sul rischio;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left="709"/>
        <w:jc w:val="left"/>
        <w:rPr/>
      </w:pPr>
      <w:r>
        <w:rPr/>
        <w:t>principio del minimo privilegio;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left="709"/>
        <w:jc w:val="left"/>
        <w:rPr/>
      </w:pPr>
      <w:r>
        <w:rPr/>
        <w:t>separazione dei compiti;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left="709"/>
        <w:jc w:val="left"/>
        <w:rPr/>
      </w:pPr>
      <w:r>
        <w:rPr/>
        <w:t>controllo dei fornitori e dei servizi cloud;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left="709"/>
        <w:jc w:val="left"/>
        <w:rPr/>
      </w:pPr>
      <w:r>
        <w:rPr/>
        <w:t>formazione continua del personale;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left="709"/>
        <w:jc w:val="left"/>
        <w:rPr/>
      </w:pPr>
      <w:r>
        <w:rPr/>
        <w:t>gestione tempestiva degli incidenti.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Campo di applicazione</w:t>
      </w:r>
    </w:p>
    <w:p>
      <w:pPr>
        <w:pStyle w:val="Heading2"/>
        <w:bidi w:val="0"/>
        <w:ind w:hanging="0" w:left="0" w:right="0"/>
        <w:jc w:val="left"/>
        <w:rPr/>
      </w:pPr>
      <w:r>
        <w:rPr/>
        <w:t>Obiettivi</w:t>
      </w:r>
    </w:p>
    <w:p>
      <w:pPr>
        <w:pStyle w:val="Heading2"/>
        <w:bidi w:val="0"/>
        <w:ind w:hanging="0" w:left="0" w:right="0"/>
        <w:jc w:val="left"/>
        <w:rPr/>
      </w:pPr>
      <w:r>
        <w:rPr/>
        <w:t>Responsabilità organizzative</w:t>
      </w:r>
    </w:p>
    <w:p>
      <w:pPr>
        <w:pStyle w:val="BodyText"/>
        <w:bidi w:val="0"/>
        <w:jc w:val="left"/>
        <w:rPr/>
      </w:pPr>
      <w:r>
        <w:rPr/>
        <w:t>L’attuazione della presente politica è sostenuta dalle funzioni aziendali e dai ruoli censiti in piattaforma. I responsabili di funzione, gli owner dei processi e il personale incaricato contribuiscono al mantenimento del SGSI in coerenza con le responsabilità formalmente assegnate.</w:t>
      </w:r>
    </w:p>
    <w:tbl>
      <w:tblPr>
        <w:tblW w:w="963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311"/>
        <w:gridCol w:w="7327"/>
      </w:tblGrid>
      <w:tr>
        <w:trPr>
          <w:tblHeader w:val="true"/>
        </w:trPr>
        <w:tc>
          <w:tcPr>
            <w:tcW w:w="2311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Funzione</w:t>
            </w:r>
          </w:p>
        </w:tc>
        <w:tc>
          <w:tcPr>
            <w:tcW w:w="7327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Responsabilità</w:t>
            </w:r>
          </w:p>
        </w:tc>
      </w:tr>
      <w:tr>
        <w:trPr/>
        <w:tc>
          <w:tcPr>
            <w:tcW w:w="231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Direzione</w:t>
            </w:r>
          </w:p>
        </w:tc>
        <w:tc>
          <w:tcPr>
            <w:tcW w:w="732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Governance aziendale, approvazione decisioni, riesame obiettivi e supervisione del sistema di gestione.</w:t>
            </w:r>
          </w:p>
        </w:tc>
      </w:tr>
      <w:tr>
        <w:trPr/>
        <w:tc>
          <w:tcPr>
            <w:tcW w:w="231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Amministrazione</w:t>
            </w:r>
          </w:p>
        </w:tc>
        <w:tc>
          <w:tcPr>
            <w:tcW w:w="732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Contabilita, scadenze amministrative, gestione documentazione economico-amministrativa.</w:t>
            </w:r>
          </w:p>
        </w:tc>
      </w:tr>
      <w:tr>
        <w:trPr/>
        <w:tc>
          <w:tcPr>
            <w:tcW w:w="231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Risorse Umane</w:t>
            </w:r>
          </w:p>
        </w:tc>
        <w:tc>
          <w:tcPr>
            <w:tcW w:w="732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Anagrafica personale, onboarding, gestione ruoli e coordinamento esigenze formative.</w:t>
            </w:r>
          </w:p>
        </w:tc>
      </w:tr>
      <w:tr>
        <w:trPr/>
        <w:tc>
          <w:tcPr>
            <w:tcW w:w="231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IT</w:t>
            </w:r>
          </w:p>
        </w:tc>
        <w:tc>
          <w:tcPr>
            <w:tcW w:w="732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Gestione infrastruttura IT, supporto utenti, sicurezza tecnica di base e continuita operativa.</w:t>
            </w:r>
          </w:p>
        </w:tc>
      </w:tr>
      <w:tr>
        <w:trPr/>
        <w:tc>
          <w:tcPr>
            <w:tcW w:w="231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Sicurezza delle informazioni</w:t>
            </w:r>
          </w:p>
        </w:tc>
        <w:tc>
          <w:tcPr>
            <w:tcW w:w="732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Coordinamento SGSI, verifica controlli, gestione miglioramenti e supporto alla conformita.</w:t>
            </w:r>
          </w:p>
        </w:tc>
      </w:tr>
      <w:tr>
        <w:trPr/>
        <w:tc>
          <w:tcPr>
            <w:tcW w:w="231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Commerciale</w:t>
            </w:r>
          </w:p>
        </w:tc>
        <w:tc>
          <w:tcPr>
            <w:tcW w:w="732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Gestione clienti, offerte, sviluppo commerciale e mantenimento relazioni.</w:t>
            </w:r>
          </w:p>
        </w:tc>
      </w:tr>
      <w:tr>
        <w:trPr/>
        <w:tc>
          <w:tcPr>
            <w:tcW w:w="231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Operations</w:t>
            </w:r>
          </w:p>
        </w:tc>
        <w:tc>
          <w:tcPr>
            <w:tcW w:w="732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Pianificazione operativa, assegnazione attivita, monitoraggio esecuzione e continuita operativa.</w:t>
            </w:r>
          </w:p>
        </w:tc>
      </w:tr>
      <w:tr>
        <w:trPr/>
        <w:tc>
          <w:tcPr>
            <w:tcW w:w="2311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Qualita e Compliance</w:t>
            </w:r>
          </w:p>
        </w:tc>
        <w:tc>
          <w:tcPr>
            <w:tcW w:w="7327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Gestione procedure, verifiche interne, conformita normativa e presidio documentale.</w:t>
            </w:r>
          </w:p>
        </w:tc>
      </w:tr>
    </w:tbl>
    <w:p>
      <w:pPr>
        <w:pStyle w:val="Heading2"/>
        <w:bidi w:val="0"/>
        <w:ind w:hanging="0" w:left="0" w:right="0"/>
        <w:jc w:val="left"/>
        <w:rPr/>
      </w:pPr>
      <w:r>
        <w:rPr/>
        <w:t>Riesame</w:t>
      </w:r>
    </w:p>
    <w:p>
      <w:pPr>
        <w:pStyle w:val="BodyText"/>
        <w:bidi w:val="0"/>
        <w:jc w:val="left"/>
        <w:rPr/>
      </w:pPr>
      <w:r>
        <w:rPr/>
        <w:t>La presente politica è riesaminata periodicamente, in occasione di modifiche organizzative rilevanti, incidenti significativi o aggiornamenti normativi e contrattuali.</w:t>
      </w:r>
    </w:p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spacing w:before="0" w:after="0"/>
        <w:jc w:val="left"/>
        <w:rPr/>
      </w:pPr>
      <w:r>
        <w:rPr/>
        <w:t xml:space="preserve">Pag. </w:t>
      </w:r>
    </w:p>
    <w:sectPr>
      <w:type w:val="nextPage"/>
      <w:pgSz w:w="11906" w:h="16838"/>
      <w:pgMar w:left="1134" w:right="1134" w:gutter="0" w:header="0" w:top="283" w:footer="0" w:bottom="45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altName w:val="sans-serif"/>
    <w:charset w:val="00"/>
    <w:family w:val="auto"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lineRule="auto" w:line="372"/>
    </w:pPr>
    <w:rPr>
      <w:rFonts w:ascii="Arial;sans-serif" w:hAnsi="Arial;sans-serif" w:eastAsia="Arial;sans-serif" w:cs="Arial;sans-serif"/>
      <w:color w:val="1F2937"/>
      <w:sz w:val="20"/>
      <w:szCs w:val="20"/>
      <w:lang w:val="it-IT" w:eastAsia="zh-CN" w:bidi="hi-IN"/>
    </w:rPr>
  </w:style>
  <w:style w:type="paragraph" w:styleId="Heading1">
    <w:name w:val="heading 1"/>
    <w:basedOn w:val="Titolo"/>
    <w:next w:val="BodyText"/>
    <w:qFormat/>
    <w:pPr>
      <w:spacing w:before="240" w:after="120"/>
      <w:outlineLvl w:val="0"/>
    </w:pPr>
    <w:rPr>
      <w:rFonts w:ascii="Arial;sans-serif" w:hAnsi="Arial;sans-serif" w:eastAsia="Arial;sans-serif" w:cs="Arial;sans-serif"/>
      <w:b/>
      <w:bCs/>
      <w:color w:val="0F172A"/>
      <w:sz w:val="36"/>
      <w:szCs w:val="36"/>
    </w:rPr>
  </w:style>
  <w:style w:type="paragraph" w:styleId="Heading2">
    <w:name w:val="heading 2"/>
    <w:basedOn w:val="Titolo"/>
    <w:next w:val="BodyText"/>
    <w:qFormat/>
    <w:pPr>
      <w:spacing w:before="200" w:after="120"/>
      <w:outlineLvl w:val="1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paragraph" w:styleId="Heading3">
    <w:name w:val="heading 3"/>
    <w:basedOn w:val="Titolo"/>
    <w:next w:val="BodyText"/>
    <w:qFormat/>
    <w:pPr>
      <w:spacing w:before="180" w:after="90"/>
      <w:ind w:left="180" w:right="180"/>
      <w:outlineLvl w:val="2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character" w:styleId="Strong">
    <w:name w:val="Strong"/>
    <w:qFormat/>
    <w:rPr>
      <w:rFonts w:ascii="Arial;sans-serif" w:hAnsi="Arial;sans-serif" w:eastAsia="Arial;sans-serif" w:cs="Arial;sans-serif"/>
      <w:b/>
      <w:bCs/>
      <w:color w:val="0F172A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>
      <w:rFonts w:ascii="Arial;sans-serif" w:hAnsi="Arial;sans-serif" w:eastAsia="Arial;sans-serif" w:cs="Arial;sans-serif"/>
      <w:sz w:val="20"/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Contenutotabella">
    <w:name w:val="Contenuto tabella"/>
    <w:basedOn w:val="Normal"/>
    <w:qFormat/>
    <w:pPr>
      <w:widowControl w:val="false"/>
      <w:suppressLineNumbers/>
      <w:jc w:val="left"/>
    </w:pPr>
    <w:rPr>
      <w:rFonts w:ascii="Arial;sans-serif" w:hAnsi="Arial;sans-serif" w:eastAsia="Arial;sans-serif" w:cs="Arial;sans-serif"/>
      <w:sz w:val="20"/>
      <w:szCs w:val="20"/>
    </w:rPr>
  </w:style>
  <w:style w:type="paragraph" w:styleId="Titolotabella">
    <w:name w:val="Titolo tabella"/>
    <w:basedOn w:val="Contenutotabella"/>
    <w:qFormat/>
    <w:pPr>
      <w:suppressLineNumbers/>
      <w:shd w:fill="F5F7FA" w:val="clear"/>
      <w:jc w:val="left"/>
    </w:pPr>
    <w:rPr>
      <w:rFonts w:ascii="Arial;sans-serif" w:hAnsi="Arial;sans-serif" w:eastAsia="Arial;sans-serif" w:cs="Arial;sans-serif"/>
      <w:b/>
      <w:bCs/>
      <w:color w:val="0F172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LibreOffice/26.2.4.2$Windows_X86_64 LibreOffice_project/0229ac93fcf0d7cbc6376066c6f35021cef002dc</Application>
  <AppVersion>15.0000</AppVersion>
  <Pages>4</Pages>
  <Words>2364</Words>
  <Characters>15677</Characters>
  <CharactersWithSpaces>18025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cp:revision>0</cp:revision>
  <dc:subject/>
  <dc:title>Politica Sicurezza Informazioni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